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MedievalSharp" w:cs="MedievalSharp" w:eastAsia="MedievalSharp" w:hAnsi="MedievalSharp"/>
          <w:sz w:val="54"/>
          <w:szCs w:val="54"/>
        </w:rPr>
      </w:pPr>
      <w:r w:rsidDel="00000000" w:rsidR="00000000" w:rsidRPr="00000000">
        <w:rPr>
          <w:rFonts w:ascii="MedievalSharp" w:cs="MedievalSharp" w:eastAsia="MedievalSharp" w:hAnsi="MedievalSharp"/>
          <w:sz w:val="54"/>
          <w:szCs w:val="54"/>
          <w:rtl w:val="0"/>
        </w:rPr>
        <w:t xml:space="preserve">Známky ve Śkole čar a kouzel v Bradavicích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1211438</wp:posOffset>
            </wp:positionH>
            <wp:positionV relativeFrom="paragraph">
              <wp:posOffset>885825</wp:posOffset>
            </wp:positionV>
            <wp:extent cx="1071563" cy="1074482"/>
            <wp:effectExtent b="0" l="0" r="0" t="0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71563" cy="107448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rFonts w:ascii="UnifrakturMaguntia" w:cs="UnifrakturMaguntia" w:eastAsia="UnifrakturMaguntia" w:hAnsi="UnifrakturMagunt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UnifrakturMaguntia" w:cs="UnifrakturMaguntia" w:eastAsia="UnifrakturMaguntia" w:hAnsi="UnifrakturMagunt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UnifrakturMaguntia" w:cs="UnifrakturMaguntia" w:eastAsia="UnifrakturMaguntia" w:hAnsi="UnifrakturMagunt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UnifrakturMaguntia" w:cs="UnifrakturMaguntia" w:eastAsia="UnifrakturMaguntia" w:hAnsi="UnifrakturMagunt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UnifrakturMaguntia" w:cs="UnifrakturMaguntia" w:eastAsia="UnifrakturMaguntia" w:hAnsi="UnifrakturMagunt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UnifrakturMaguntia" w:cs="UnifrakturMaguntia" w:eastAsia="UnifrakturMaguntia" w:hAnsi="UnifrakturMagunt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UnifrakturMaguntia" w:cs="UnifrakturMaguntia" w:eastAsia="UnifrakturMaguntia" w:hAnsi="UnifrakturMagunt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MedievalSharp" w:cs="MedievalSharp" w:eastAsia="MedievalSharp" w:hAnsi="MedievalSharp"/>
          <w:sz w:val="40"/>
          <w:szCs w:val="40"/>
        </w:rPr>
      </w:pPr>
      <w:r w:rsidDel="00000000" w:rsidR="00000000" w:rsidRPr="00000000">
        <w:rPr>
          <w:rFonts w:ascii="MedievalSharp" w:cs="MedievalSharp" w:eastAsia="MedievalSharp" w:hAnsi="MedievalSharp"/>
          <w:sz w:val="64"/>
          <w:szCs w:val="64"/>
          <w:rtl w:val="0"/>
        </w:rPr>
        <w:t xml:space="preserve">V - </w:t>
        <w:tab/>
      </w:r>
      <w:r w:rsidDel="00000000" w:rsidR="00000000" w:rsidRPr="00000000">
        <w:rPr>
          <w:rFonts w:ascii="MedievalSharp" w:cs="MedievalSharp" w:eastAsia="MedievalSharp" w:hAnsi="MedievalSharp"/>
          <w:sz w:val="40"/>
          <w:szCs w:val="40"/>
          <w:rtl w:val="0"/>
        </w:rPr>
        <w:t xml:space="preserve">výborně</w:t>
      </w:r>
    </w:p>
    <w:p w:rsidR="00000000" w:rsidDel="00000000" w:rsidP="00000000" w:rsidRDefault="00000000" w:rsidRPr="00000000" w14:paraId="0000000A">
      <w:pPr>
        <w:rPr>
          <w:rFonts w:ascii="MedievalSharp" w:cs="MedievalSharp" w:eastAsia="MedievalSharp" w:hAnsi="MedievalSharp"/>
          <w:sz w:val="40"/>
          <w:szCs w:val="40"/>
        </w:rPr>
      </w:pPr>
      <w:r w:rsidDel="00000000" w:rsidR="00000000" w:rsidRPr="00000000">
        <w:rPr>
          <w:rFonts w:ascii="MedievalSharp" w:cs="MedievalSharp" w:eastAsia="MedievalSharp" w:hAnsi="MedievalSharp"/>
          <w:sz w:val="64"/>
          <w:szCs w:val="64"/>
          <w:rtl w:val="0"/>
        </w:rPr>
        <w:t xml:space="preserve">N - </w:t>
        <w:tab/>
      </w:r>
      <w:r w:rsidDel="00000000" w:rsidR="00000000" w:rsidRPr="00000000">
        <w:rPr>
          <w:rFonts w:ascii="MedievalSharp" w:cs="MedievalSharp" w:eastAsia="MedievalSharp" w:hAnsi="MedievalSharp"/>
          <w:sz w:val="40"/>
          <w:szCs w:val="40"/>
          <w:rtl w:val="0"/>
        </w:rPr>
        <w:t xml:space="preserve">nad očekávání</w:t>
      </w:r>
    </w:p>
    <w:p w:rsidR="00000000" w:rsidDel="00000000" w:rsidP="00000000" w:rsidRDefault="00000000" w:rsidRPr="00000000" w14:paraId="0000000B">
      <w:pPr>
        <w:rPr>
          <w:rFonts w:ascii="MedievalSharp" w:cs="MedievalSharp" w:eastAsia="MedievalSharp" w:hAnsi="MedievalSharp"/>
          <w:sz w:val="40"/>
          <w:szCs w:val="40"/>
        </w:rPr>
      </w:pPr>
      <w:r w:rsidDel="00000000" w:rsidR="00000000" w:rsidRPr="00000000">
        <w:rPr>
          <w:rFonts w:ascii="MedievalSharp" w:cs="MedievalSharp" w:eastAsia="MedievalSharp" w:hAnsi="MedievalSharp"/>
          <w:sz w:val="64"/>
          <w:szCs w:val="64"/>
          <w:rtl w:val="0"/>
        </w:rPr>
        <w:t xml:space="preserve">P - </w:t>
        <w:tab/>
      </w:r>
      <w:r w:rsidDel="00000000" w:rsidR="00000000" w:rsidRPr="00000000">
        <w:rPr>
          <w:rFonts w:ascii="MedievalSharp" w:cs="MedievalSharp" w:eastAsia="MedievalSharp" w:hAnsi="MedievalSharp"/>
          <w:sz w:val="40"/>
          <w:szCs w:val="40"/>
          <w:rtl w:val="0"/>
        </w:rPr>
        <w:t xml:space="preserve">přijatelné</w:t>
      </w:r>
    </w:p>
    <w:p w:rsidR="00000000" w:rsidDel="00000000" w:rsidP="00000000" w:rsidRDefault="00000000" w:rsidRPr="00000000" w14:paraId="0000000C">
      <w:pPr>
        <w:rPr>
          <w:rFonts w:ascii="MedievalSharp" w:cs="MedievalSharp" w:eastAsia="MedievalSharp" w:hAnsi="MedievalSharp"/>
          <w:sz w:val="40"/>
          <w:szCs w:val="40"/>
        </w:rPr>
      </w:pPr>
      <w:r w:rsidDel="00000000" w:rsidR="00000000" w:rsidRPr="00000000">
        <w:rPr>
          <w:rFonts w:ascii="MedievalSharp" w:cs="MedievalSharp" w:eastAsia="MedievalSharp" w:hAnsi="MedievalSharp"/>
          <w:sz w:val="64"/>
          <w:szCs w:val="64"/>
          <w:rtl w:val="0"/>
        </w:rPr>
        <w:t xml:space="preserve">M - </w:t>
        <w:tab/>
      </w:r>
      <w:r w:rsidDel="00000000" w:rsidR="00000000" w:rsidRPr="00000000">
        <w:rPr>
          <w:rFonts w:ascii="MedievalSharp" w:cs="MedievalSharp" w:eastAsia="MedievalSharp" w:hAnsi="MedievalSharp"/>
          <w:sz w:val="40"/>
          <w:szCs w:val="40"/>
          <w:rtl w:val="0"/>
        </w:rPr>
        <w:t xml:space="preserve">mizerné</w:t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1590675</wp:posOffset>
            </wp:positionH>
            <wp:positionV relativeFrom="paragraph">
              <wp:posOffset>304800</wp:posOffset>
            </wp:positionV>
            <wp:extent cx="2379529" cy="2386013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79529" cy="23860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D">
      <w:pPr>
        <w:rPr>
          <w:rFonts w:ascii="MedievalSharp" w:cs="MedievalSharp" w:eastAsia="MedievalSharp" w:hAnsi="MedievalSharp"/>
          <w:sz w:val="40"/>
          <w:szCs w:val="40"/>
        </w:rPr>
      </w:pPr>
      <w:r w:rsidDel="00000000" w:rsidR="00000000" w:rsidRPr="00000000">
        <w:rPr>
          <w:rFonts w:ascii="MedievalSharp" w:cs="MedievalSharp" w:eastAsia="MedievalSharp" w:hAnsi="MedievalSharp"/>
          <w:sz w:val="64"/>
          <w:szCs w:val="64"/>
          <w:rtl w:val="0"/>
        </w:rPr>
        <w:t xml:space="preserve">H - </w:t>
        <w:tab/>
      </w:r>
      <w:r w:rsidDel="00000000" w:rsidR="00000000" w:rsidRPr="00000000">
        <w:rPr>
          <w:rFonts w:ascii="MedievalSharp" w:cs="MedievalSharp" w:eastAsia="MedievalSharp" w:hAnsi="MedievalSharp"/>
          <w:sz w:val="40"/>
          <w:szCs w:val="40"/>
          <w:rtl w:val="0"/>
        </w:rPr>
        <w:t xml:space="preserve">hrozné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MedievalSharp" w:cs="MedievalSharp" w:eastAsia="MedievalSharp" w:hAnsi="MedievalSharp"/>
          <w:sz w:val="40"/>
          <w:szCs w:val="40"/>
        </w:rPr>
      </w:pPr>
      <w:r w:rsidDel="00000000" w:rsidR="00000000" w:rsidRPr="00000000">
        <w:rPr>
          <w:rFonts w:ascii="MedievalSharp" w:cs="MedievalSharp" w:eastAsia="MedievalSharp" w:hAnsi="MedievalSharp"/>
          <w:sz w:val="64"/>
          <w:szCs w:val="64"/>
          <w:rtl w:val="0"/>
        </w:rPr>
        <w:t xml:space="preserve">T - </w:t>
        <w:tab/>
      </w:r>
      <w:r w:rsidDel="00000000" w:rsidR="00000000" w:rsidRPr="00000000">
        <w:rPr>
          <w:rFonts w:ascii="MedievalSharp" w:cs="MedievalSharp" w:eastAsia="MedievalSharp" w:hAnsi="MedievalSharp"/>
          <w:sz w:val="40"/>
          <w:szCs w:val="40"/>
          <w:rtl w:val="0"/>
        </w:rPr>
        <w:t xml:space="preserve">troll</w:t>
      </w:r>
    </w:p>
    <w:sectPr>
      <w:pgSz w:h="11906" w:w="8391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edievalSharp">
    <w:embedRegular w:fontKey="{00000000-0000-0000-0000-000000000000}" r:id="rId1" w:subsetted="0"/>
  </w:font>
  <w:font w:name="UnifrakturMaguntia">
    <w:embedRegular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edievalSharp-regular.ttf"/><Relationship Id="rId2" Type="http://schemas.openxmlformats.org/officeDocument/2006/relationships/font" Target="fonts/UnifrakturMaguntia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