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3619500</wp:posOffset>
            </wp:positionH>
            <wp:positionV relativeFrom="paragraph">
              <wp:posOffset>219075</wp:posOffset>
            </wp:positionV>
            <wp:extent cx="2524125" cy="1447800"/>
            <wp:effectExtent b="0" l="0" r="0" t="0"/>
            <wp:wrapNone/>
            <wp:docPr id="16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447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-319087</wp:posOffset>
            </wp:positionH>
            <wp:positionV relativeFrom="paragraph">
              <wp:posOffset>219075</wp:posOffset>
            </wp:positionV>
            <wp:extent cx="2319338" cy="1443143"/>
            <wp:effectExtent b="0" l="0" r="0" t="0"/>
            <wp:wrapNone/>
            <wp:docPr id="24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14431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Fonts w:ascii="MedievalSharp" w:cs="MedievalSharp" w:eastAsia="MedievalSharp" w:hAnsi="MedievalSharp"/>
          <w:b w:val="1"/>
          <w:sz w:val="48"/>
          <w:szCs w:val="48"/>
          <w:u w:val="single"/>
          <w:rtl w:val="0"/>
        </w:rPr>
        <w:t xml:space="preserve">Elfové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Nejmoudřejší z ras Středozemě, nositelé Tří prstenů.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Jejich sídlem je Roklinka, zvaná též Imladris. Žijí také v království Lothlórien, kam zavítalo i Společenstvo Prstenu poté, co padl čaroděj Gandalf.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Místo smrti odcházejí do zemí neumírajících na západě, zvaných též Valinor.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Jako bojový pokřik se dovolávají krásné Elbereth slovy A! Elbereth Gilthoniel!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  <w:u w:val="none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Milují vše krásné, hudbu, rostliny i zvířata.</w:t>
      </w:r>
    </w:p>
    <w:p w:rsidR="00000000" w:rsidDel="00000000" w:rsidP="00000000" w:rsidRDefault="00000000" w:rsidRPr="00000000" w14:paraId="0000000B">
      <w:pPr>
        <w:spacing w:before="200" w:line="240" w:lineRule="auto"/>
        <w:ind w:left="72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00" w:line="240" w:lineRule="auto"/>
        <w:jc w:val="center"/>
        <w:rPr>
          <w:rFonts w:ascii="Bilbo" w:cs="Bilbo" w:eastAsia="Bilbo" w:hAnsi="Bilbo"/>
          <w:i w:val="1"/>
          <w:sz w:val="48"/>
          <w:szCs w:val="48"/>
        </w:rPr>
      </w:pPr>
      <w:r w:rsidDel="00000000" w:rsidR="00000000" w:rsidRPr="00000000">
        <w:rPr>
          <w:rFonts w:ascii="MedievalSharp" w:cs="MedievalSharp" w:eastAsia="MedievalSharp" w:hAnsi="MedievalSharp"/>
          <w:sz w:val="36"/>
          <w:szCs w:val="36"/>
        </w:rPr>
        <w:drawing>
          <wp:inline distB="114300" distT="114300" distL="114300" distR="114300">
            <wp:extent cx="5073488" cy="3599675"/>
            <wp:effectExtent b="0" l="0" r="0" t="0"/>
            <wp:docPr id="7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3488" cy="3599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Bilbo" w:cs="Bilbo" w:eastAsia="Bilbo" w:hAnsi="Bilbo"/>
          <w:i w:val="1"/>
          <w:sz w:val="48"/>
          <w:szCs w:val="48"/>
          <w:rtl w:val="0"/>
        </w:rPr>
        <w:t xml:space="preserve">“Nechoď se ptát elfů na radu, protože ti řeknou ano i ne.”</w:t>
      </w:r>
    </w:p>
    <w:p w:rsidR="00000000" w:rsidDel="00000000" w:rsidP="00000000" w:rsidRDefault="00000000" w:rsidRPr="00000000" w14:paraId="0000000D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-257174</wp:posOffset>
            </wp:positionH>
            <wp:positionV relativeFrom="paragraph">
              <wp:posOffset>200025</wp:posOffset>
            </wp:positionV>
            <wp:extent cx="2524125" cy="1882023"/>
            <wp:effectExtent b="0" l="0" r="0" t="0"/>
            <wp:wrapNone/>
            <wp:docPr id="22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820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3886200</wp:posOffset>
            </wp:positionH>
            <wp:positionV relativeFrom="paragraph">
              <wp:posOffset>152400</wp:posOffset>
            </wp:positionV>
            <wp:extent cx="1495425" cy="1929010"/>
            <wp:effectExtent b="0" l="0" r="0" t="0"/>
            <wp:wrapNone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9290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Fonts w:ascii="MedievalSharp" w:cs="MedievalSharp" w:eastAsia="MedievalSharp" w:hAnsi="MedievalSharp"/>
          <w:b w:val="1"/>
          <w:sz w:val="48"/>
          <w:szCs w:val="48"/>
          <w:u w:val="single"/>
          <w:rtl w:val="0"/>
        </w:rPr>
        <w:t xml:space="preserve">Enti</w:t>
      </w:r>
    </w:p>
    <w:p w:rsidR="00000000" w:rsidDel="00000000" w:rsidP="00000000" w:rsidRDefault="00000000" w:rsidRPr="00000000" w14:paraId="00000011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Jejich sídlem je Fangorn, hvozd na jihovýchodě Mlžných hor.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Byli vytvořeni jako ochránci květin a rostlin, proto se jim také říká Pastýři stromů.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Jako bojový pokřik volí Taurelilómëa-tumbalemorna, “vyhnání černého stínu z hlubokého lesa”.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Žijí samotářsky a nemíchají se do věcí jiných národů. Nenávidějí skřety a trpaslíky, kteří kácejí stromy, a hodně si váží elfů, kteří se také starali o lesy a probudili v entech touhu mluvit.</w:t>
      </w:r>
    </w:p>
    <w:p w:rsidR="00000000" w:rsidDel="00000000" w:rsidP="00000000" w:rsidRDefault="00000000" w:rsidRPr="00000000" w14:paraId="00000016">
      <w:pPr>
        <w:spacing w:before="200" w:line="240" w:lineRule="auto"/>
        <w:jc w:val="both"/>
        <w:rPr>
          <w:rFonts w:ascii="MedievalSharp" w:cs="MedievalSharp" w:eastAsia="MedievalSharp" w:hAnsi="MedievalSharp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200" w:line="240" w:lineRule="auto"/>
        <w:jc w:val="center"/>
        <w:rPr>
          <w:rFonts w:ascii="MedievalSharp" w:cs="MedievalSharp" w:eastAsia="MedievalSharp" w:hAnsi="MedievalSharp"/>
          <w:sz w:val="36"/>
          <w:szCs w:val="36"/>
        </w:rPr>
      </w:pPr>
      <w:r w:rsidDel="00000000" w:rsidR="00000000" w:rsidRPr="00000000">
        <w:rPr>
          <w:rFonts w:ascii="MedievalSharp" w:cs="MedievalSharp" w:eastAsia="MedievalSharp" w:hAnsi="MedievalSharp"/>
          <w:sz w:val="36"/>
          <w:szCs w:val="36"/>
        </w:rPr>
        <w:drawing>
          <wp:inline distB="114300" distT="114300" distL="114300" distR="114300">
            <wp:extent cx="5731200" cy="3594100"/>
            <wp:effectExtent b="0" l="0" r="0" t="0"/>
            <wp:docPr id="6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9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200" w:line="240" w:lineRule="auto"/>
        <w:jc w:val="center"/>
        <w:rPr>
          <w:rFonts w:ascii="Bilbo" w:cs="Bilbo" w:eastAsia="Bilbo" w:hAnsi="Bilbo"/>
          <w:i w:val="1"/>
          <w:sz w:val="48"/>
          <w:szCs w:val="48"/>
        </w:rPr>
      </w:pPr>
      <w:r w:rsidDel="00000000" w:rsidR="00000000" w:rsidRPr="00000000">
        <w:rPr>
          <w:rFonts w:ascii="Bilbo" w:cs="Bilbo" w:eastAsia="Bilbo" w:hAnsi="Bilbo"/>
          <w:i w:val="1"/>
          <w:sz w:val="48"/>
          <w:szCs w:val="48"/>
          <w:rtl w:val="0"/>
        </w:rPr>
        <w:t xml:space="preserve">“A my enti nikdy neříkáme nic, pokud to nestojí za opravdu dlouhé povídání.”</w:t>
      </w:r>
    </w:p>
    <w:p w:rsidR="00000000" w:rsidDel="00000000" w:rsidP="00000000" w:rsidRDefault="00000000" w:rsidRPr="00000000" w14:paraId="00000019">
      <w:pPr>
        <w:spacing w:before="200" w:line="240" w:lineRule="auto"/>
        <w:jc w:val="center"/>
        <w:rPr>
          <w:rFonts w:ascii="Bilbo" w:cs="Bilbo" w:eastAsia="Bilbo" w:hAnsi="Bilbo"/>
          <w:i w:val="1"/>
          <w:sz w:val="48"/>
          <w:szCs w:val="4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-561974</wp:posOffset>
            </wp:positionH>
            <wp:positionV relativeFrom="paragraph">
              <wp:posOffset>466725</wp:posOffset>
            </wp:positionV>
            <wp:extent cx="3595255" cy="1485900"/>
            <wp:effectExtent b="0" l="0" r="0" t="0"/>
            <wp:wrapNone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5255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3390900</wp:posOffset>
            </wp:positionH>
            <wp:positionV relativeFrom="paragraph">
              <wp:posOffset>466725</wp:posOffset>
            </wp:positionV>
            <wp:extent cx="2862263" cy="1482955"/>
            <wp:effectExtent b="0" l="0" r="0" t="0"/>
            <wp:wrapNone/>
            <wp:docPr id="2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62263" cy="14829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Fonts w:ascii="MedievalSharp" w:cs="MedievalSharp" w:eastAsia="MedievalSharp" w:hAnsi="MedievalSharp"/>
          <w:b w:val="1"/>
          <w:sz w:val="48"/>
          <w:szCs w:val="48"/>
          <w:u w:val="single"/>
          <w:rtl w:val="0"/>
        </w:rPr>
        <w:t xml:space="preserve">Trpaslíci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Jsou velkými řemeslníky, kováři a staviteli kamenných síní a staveb a nositelé Sedmi prstenů.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Jejich sídlem je hora Erebor, kterou osvobodili od draka Šmaka. Žili také v Morii, v Khazad-dum, kde ale dolováním mithrilu probudili balroga.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Velkou zálibu mají také ve zpracování železa, stříbra a zlata a ve výrobě zbraní.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Jako bojový pokřik zvolávají Baruk Khazad! Khazad ai-menu! (Sekyry trpaslíků! Trpaslíci na vás!)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Nade vše milují výtvory své práce, které si žárlivě střeží.</w:t>
      </w:r>
    </w:p>
    <w:p w:rsidR="00000000" w:rsidDel="00000000" w:rsidP="00000000" w:rsidRDefault="00000000" w:rsidRPr="00000000" w14:paraId="00000024">
      <w:pPr>
        <w:spacing w:before="200" w:line="240" w:lineRule="auto"/>
        <w:jc w:val="both"/>
        <w:rPr>
          <w:rFonts w:ascii="MedievalSharp" w:cs="MedievalSharp" w:eastAsia="MedievalSharp" w:hAnsi="MedievalSharp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00" w:line="240" w:lineRule="auto"/>
        <w:jc w:val="center"/>
        <w:rPr>
          <w:rFonts w:ascii="MedievalSharp" w:cs="MedievalSharp" w:eastAsia="MedievalSharp" w:hAnsi="MedievalSharp"/>
          <w:sz w:val="36"/>
          <w:szCs w:val="36"/>
        </w:rPr>
      </w:pPr>
      <w:r w:rsidDel="00000000" w:rsidR="00000000" w:rsidRPr="00000000">
        <w:rPr>
          <w:rFonts w:ascii="MedievalSharp" w:cs="MedievalSharp" w:eastAsia="MedievalSharp" w:hAnsi="MedievalSharp"/>
          <w:sz w:val="36"/>
          <w:szCs w:val="36"/>
        </w:rPr>
        <w:drawing>
          <wp:inline distB="114300" distT="114300" distL="114300" distR="114300">
            <wp:extent cx="4762500" cy="2762250"/>
            <wp:effectExtent b="0" l="0" r="0" t="0"/>
            <wp:docPr id="15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6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00" w:line="240" w:lineRule="auto"/>
        <w:jc w:val="center"/>
        <w:rPr>
          <w:rFonts w:ascii="Bilbo" w:cs="Bilbo" w:eastAsia="Bilbo" w:hAnsi="Bilbo"/>
          <w:i w:val="1"/>
          <w:sz w:val="48"/>
          <w:szCs w:val="48"/>
        </w:rPr>
      </w:pPr>
      <w:r w:rsidDel="00000000" w:rsidR="00000000" w:rsidRPr="00000000">
        <w:rPr>
          <w:rFonts w:ascii="Bilbo" w:cs="Bilbo" w:eastAsia="Bilbo" w:hAnsi="Bilbo"/>
          <w:i w:val="1"/>
          <w:sz w:val="48"/>
          <w:szCs w:val="48"/>
          <w:rtl w:val="0"/>
        </w:rPr>
        <w:t xml:space="preserve">“Trpasličí dveře jsou neviditelné, když se zavřou.”</w:t>
      </w:r>
    </w:p>
    <w:p w:rsidR="00000000" w:rsidDel="00000000" w:rsidP="00000000" w:rsidRDefault="00000000" w:rsidRPr="00000000" w14:paraId="00000027">
      <w:pPr>
        <w:spacing w:before="200" w:line="240" w:lineRule="auto"/>
        <w:jc w:val="center"/>
        <w:rPr>
          <w:rFonts w:ascii="Bilbo" w:cs="Bilbo" w:eastAsia="Bilbo" w:hAnsi="Bilbo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3638550</wp:posOffset>
            </wp:positionH>
            <wp:positionV relativeFrom="paragraph">
              <wp:posOffset>226695</wp:posOffset>
            </wp:positionV>
            <wp:extent cx="2671334" cy="1774973"/>
            <wp:effectExtent b="0" l="0" r="0" t="0"/>
            <wp:wrapNone/>
            <wp:docPr id="4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1334" cy="17749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-561974</wp:posOffset>
            </wp:positionH>
            <wp:positionV relativeFrom="paragraph">
              <wp:posOffset>228600</wp:posOffset>
            </wp:positionV>
            <wp:extent cx="2749112" cy="1771650"/>
            <wp:effectExtent b="0" l="0" r="0" t="0"/>
            <wp:wrapNone/>
            <wp:docPr id="20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9112" cy="1771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Fonts w:ascii="MedievalSharp" w:cs="MedievalSharp" w:eastAsia="MedievalSharp" w:hAnsi="MedievalSharp"/>
          <w:b w:val="1"/>
          <w:sz w:val="48"/>
          <w:szCs w:val="48"/>
          <w:u w:val="single"/>
          <w:rtl w:val="0"/>
        </w:rPr>
        <w:t xml:space="preserve">Rohirové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Jsou proslulí především jako výborní jezdci a chovatelé koní.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Jejich sídlem je Rohan, zvaný také Jízdmarka, země Pánů koní, hlavním městem je Edoras.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Mezi jejich nejslavnější vladaře patří Eorl Mladý nebo Théoden Rohanský.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Jako bojový pokřik volají Forth Eorlingas! Nebo také Kupředu, Eorlovci!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Do boje nosili drátěné košile, kulaté, malované štíty a dlouhá kopí.</w:t>
      </w:r>
    </w:p>
    <w:p w:rsidR="00000000" w:rsidDel="00000000" w:rsidP="00000000" w:rsidRDefault="00000000" w:rsidRPr="00000000" w14:paraId="00000032">
      <w:pPr>
        <w:spacing w:before="200" w:line="240" w:lineRule="auto"/>
        <w:jc w:val="both"/>
        <w:rPr>
          <w:rFonts w:ascii="MedievalSharp" w:cs="MedievalSharp" w:eastAsia="MedievalSharp" w:hAnsi="MedievalSharp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200" w:line="240" w:lineRule="auto"/>
        <w:jc w:val="center"/>
        <w:rPr>
          <w:rFonts w:ascii="MedievalSharp" w:cs="MedievalSharp" w:eastAsia="MedievalSharp" w:hAnsi="MedievalSharp"/>
          <w:sz w:val="36"/>
          <w:szCs w:val="36"/>
        </w:rPr>
      </w:pPr>
      <w:r w:rsidDel="00000000" w:rsidR="00000000" w:rsidRPr="00000000">
        <w:rPr>
          <w:rFonts w:ascii="MedievalSharp" w:cs="MedievalSharp" w:eastAsia="MedievalSharp" w:hAnsi="MedievalSharp"/>
          <w:sz w:val="36"/>
          <w:szCs w:val="36"/>
        </w:rPr>
        <w:drawing>
          <wp:inline distB="114300" distT="114300" distL="114300" distR="114300">
            <wp:extent cx="5731200" cy="3238500"/>
            <wp:effectExtent b="0" l="0" r="0" t="0"/>
            <wp:docPr id="11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200" w:line="240" w:lineRule="auto"/>
        <w:jc w:val="center"/>
        <w:rPr>
          <w:rFonts w:ascii="Bilbo" w:cs="Bilbo" w:eastAsia="Bilbo" w:hAnsi="Bilbo"/>
          <w:i w:val="1"/>
          <w:sz w:val="48"/>
          <w:szCs w:val="48"/>
        </w:rPr>
      </w:pPr>
      <w:r w:rsidDel="00000000" w:rsidR="00000000" w:rsidRPr="00000000">
        <w:rPr>
          <w:rFonts w:ascii="Bilbo" w:cs="Bilbo" w:eastAsia="Bilbo" w:hAnsi="Bilbo"/>
          <w:i w:val="1"/>
          <w:sz w:val="48"/>
          <w:szCs w:val="48"/>
          <w:rtl w:val="0"/>
        </w:rPr>
        <w:t xml:space="preserve">“"Přijde den, kdy odvaha lidí padne... ale ne dnes!"”</w:t>
      </w:r>
    </w:p>
    <w:p w:rsidR="00000000" w:rsidDel="00000000" w:rsidP="00000000" w:rsidRDefault="00000000" w:rsidRPr="00000000" w14:paraId="00000035">
      <w:pPr>
        <w:spacing w:before="200" w:line="240" w:lineRule="auto"/>
        <w:jc w:val="center"/>
        <w:rPr>
          <w:rFonts w:ascii="Bilbo" w:cs="Bilbo" w:eastAsia="Bilbo" w:hAnsi="Bilbo"/>
          <w:i w:val="1"/>
          <w:sz w:val="48"/>
          <w:szCs w:val="4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-161924</wp:posOffset>
            </wp:positionH>
            <wp:positionV relativeFrom="paragraph">
              <wp:posOffset>114300</wp:posOffset>
            </wp:positionV>
            <wp:extent cx="2072242" cy="2066437"/>
            <wp:effectExtent b="0" l="0" r="0" t="0"/>
            <wp:wrapNone/>
            <wp:docPr id="18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2242" cy="20664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3648075</wp:posOffset>
            </wp:positionH>
            <wp:positionV relativeFrom="paragraph">
              <wp:posOffset>114681</wp:posOffset>
            </wp:positionV>
            <wp:extent cx="2749071" cy="2009287"/>
            <wp:effectExtent b="0" l="0" r="0" t="0"/>
            <wp:wrapNone/>
            <wp:docPr id="1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9071" cy="20092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Fonts w:ascii="MedievalSharp" w:cs="MedievalSharp" w:eastAsia="MedievalSharp" w:hAnsi="MedievalSharp"/>
          <w:b w:val="1"/>
          <w:sz w:val="48"/>
          <w:szCs w:val="48"/>
          <w:u w:val="single"/>
          <w:rtl w:val="0"/>
        </w:rPr>
        <w:t xml:space="preserve">Dúnadani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Potomci Númenorejců, lidé ze Západu. Jedním z posledních jejich rodu byl Aragorn, zvaný také Chodec.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Po jeho nástupu na trůn v Gondoru (kde do té doby vládl správce Denethor a jeho syn Boromir) se jejich sídlem stalo hlavní město Minas Tirith, poslední bašta boje proti Temnému Pánu a Mordoru.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Vyznačují se velkým tělesným vzrůstem, silnou vůlí i dlouhověkostí.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Jako bojový pokřik zvolávají Lacho calad! Drego morn! (Ať vzplane plamen a temnota prchne!)</w:t>
      </w:r>
    </w:p>
    <w:p w:rsidR="00000000" w:rsidDel="00000000" w:rsidP="00000000" w:rsidRDefault="00000000" w:rsidRPr="00000000" w14:paraId="0000003E">
      <w:pPr>
        <w:spacing w:before="200" w:line="240" w:lineRule="auto"/>
        <w:jc w:val="both"/>
        <w:rPr>
          <w:rFonts w:ascii="MedievalSharp" w:cs="MedievalSharp" w:eastAsia="MedievalSharp" w:hAnsi="MedievalSharp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200" w:line="240" w:lineRule="auto"/>
        <w:jc w:val="center"/>
        <w:rPr>
          <w:rFonts w:ascii="MedievalSharp" w:cs="MedievalSharp" w:eastAsia="MedievalSharp" w:hAnsi="MedievalSharp"/>
          <w:sz w:val="36"/>
          <w:szCs w:val="36"/>
        </w:rPr>
      </w:pPr>
      <w:r w:rsidDel="00000000" w:rsidR="00000000" w:rsidRPr="00000000">
        <w:rPr>
          <w:rFonts w:ascii="MedievalSharp" w:cs="MedievalSharp" w:eastAsia="MedievalSharp" w:hAnsi="MedievalSharp"/>
          <w:sz w:val="36"/>
          <w:szCs w:val="36"/>
        </w:rPr>
        <w:drawing>
          <wp:inline distB="114300" distT="114300" distL="114300" distR="114300">
            <wp:extent cx="4286250" cy="3162300"/>
            <wp:effectExtent b="0" l="0" r="0" t="0"/>
            <wp:docPr id="1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16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200" w:line="240" w:lineRule="auto"/>
        <w:jc w:val="center"/>
        <w:rPr>
          <w:rFonts w:ascii="Bilbo" w:cs="Bilbo" w:eastAsia="Bilbo" w:hAnsi="Bilbo"/>
          <w:i w:val="1"/>
          <w:sz w:val="48"/>
          <w:szCs w:val="48"/>
        </w:rPr>
      </w:pPr>
      <w:r w:rsidDel="00000000" w:rsidR="00000000" w:rsidRPr="00000000">
        <w:rPr>
          <w:rFonts w:ascii="Bilbo" w:cs="Bilbo" w:eastAsia="Bilbo" w:hAnsi="Bilbo"/>
          <w:i w:val="1"/>
          <w:sz w:val="48"/>
          <w:szCs w:val="48"/>
          <w:rtl w:val="0"/>
        </w:rPr>
        <w:t xml:space="preserve">“Strážit malé lidičky byl úděl mého rodu, zatímco léta ubíhala a tráva rostla.”</w:t>
      </w:r>
    </w:p>
    <w:p w:rsidR="00000000" w:rsidDel="00000000" w:rsidP="00000000" w:rsidRDefault="00000000" w:rsidRPr="00000000" w14:paraId="00000041">
      <w:pPr>
        <w:spacing w:before="200" w:line="240" w:lineRule="auto"/>
        <w:jc w:val="center"/>
        <w:rPr>
          <w:rFonts w:ascii="Bilbo" w:cs="Bilbo" w:eastAsia="Bilbo" w:hAnsi="Bilbo"/>
          <w:i w:val="1"/>
          <w:sz w:val="48"/>
          <w:szCs w:val="4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-257174</wp:posOffset>
            </wp:positionH>
            <wp:positionV relativeFrom="paragraph">
              <wp:posOffset>366712</wp:posOffset>
            </wp:positionV>
            <wp:extent cx="2519363" cy="1577545"/>
            <wp:effectExtent b="0" l="0" r="0" t="0"/>
            <wp:wrapNone/>
            <wp:docPr id="5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9363" cy="15775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4191000</wp:posOffset>
            </wp:positionH>
            <wp:positionV relativeFrom="paragraph">
              <wp:posOffset>195262</wp:posOffset>
            </wp:positionV>
            <wp:extent cx="1415361" cy="1914037"/>
            <wp:effectExtent b="0" l="0" r="0" t="0"/>
            <wp:wrapNone/>
            <wp:docPr id="21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5361" cy="19140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left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MedievalSharp" w:cs="MedievalSharp" w:eastAsia="MedievalSharp" w:hAnsi="MedievalSharp"/>
          <w:b w:val="1"/>
          <w:sz w:val="48"/>
          <w:szCs w:val="48"/>
          <w:u w:val="single"/>
        </w:rPr>
      </w:pPr>
      <w:r w:rsidDel="00000000" w:rsidR="00000000" w:rsidRPr="00000000">
        <w:rPr>
          <w:rFonts w:ascii="MedievalSharp" w:cs="MedievalSharp" w:eastAsia="MedievalSharp" w:hAnsi="MedievalSharp"/>
          <w:b w:val="1"/>
          <w:sz w:val="48"/>
          <w:szCs w:val="48"/>
          <w:u w:val="single"/>
          <w:rtl w:val="0"/>
        </w:rPr>
        <w:t xml:space="preserve">Hobiti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Bývají dobrosrdeční, veselí, mají zálibu v dobrém jídle, pití a kouření dýmky.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Jejich sídlem je Kraj, od Hobitína, přes řeku Brandyvínu až téměř k lidské vesnici Hůrka, kde se měli kdysi, nesouce Prsten, setkat s šedým poutníkem.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Vyznačují se malým vzrůstem (proto se jim také říká půlčíci) a chlupatýma nohama.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Boje se straní, ale zvolat by mohli například Goblin Mathom! </w:t>
        <w:tab/>
        <w:t xml:space="preserve">  (K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čertu s gobliny!).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Pokud se dostanou do nesnází, dokážou se rychle rozhodovat a je poměrně těžké je zastrašit, zabít nebo zlomit jejich mysl.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200" w:line="240" w:lineRule="auto"/>
        <w:jc w:val="both"/>
        <w:rPr>
          <w:rFonts w:ascii="MedievalSharp" w:cs="MedievalSharp" w:eastAsia="MedievalSharp" w:hAnsi="MedievalSharp"/>
          <w:sz w:val="36"/>
          <w:szCs w:val="36"/>
        </w:rPr>
      </w:pPr>
      <w:r w:rsidDel="00000000" w:rsidR="00000000" w:rsidRPr="00000000">
        <w:rPr>
          <w:rFonts w:ascii="MedievalSharp" w:cs="MedievalSharp" w:eastAsia="MedievalSharp" w:hAnsi="MedievalSharp"/>
          <w:sz w:val="36"/>
          <w:szCs w:val="36"/>
        </w:rPr>
        <w:drawing>
          <wp:inline distB="114300" distT="114300" distL="114300" distR="114300">
            <wp:extent cx="5731200" cy="3225800"/>
            <wp:effectExtent b="0" l="0" r="0" t="0"/>
            <wp:docPr id="13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200" w:line="240" w:lineRule="auto"/>
        <w:jc w:val="center"/>
        <w:rPr>
          <w:rFonts w:ascii="Bilbo" w:cs="Bilbo" w:eastAsia="Bilbo" w:hAnsi="Bilbo"/>
          <w:i w:val="1"/>
          <w:sz w:val="48"/>
          <w:szCs w:val="48"/>
        </w:rPr>
      </w:pPr>
      <w:r w:rsidDel="00000000" w:rsidR="00000000" w:rsidRPr="00000000">
        <w:rPr>
          <w:rFonts w:ascii="Bilbo" w:cs="Bilbo" w:eastAsia="Bilbo" w:hAnsi="Bilbo"/>
          <w:i w:val="1"/>
          <w:sz w:val="48"/>
          <w:szCs w:val="48"/>
          <w:rtl w:val="0"/>
        </w:rPr>
        <w:t xml:space="preserve">“O hobitech jsem se naučil jedno – mají nesmírně tuhý kořínek.”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19479975</wp:posOffset>
            </wp:positionV>
            <wp:extent cx="5731200" cy="2984500"/>
            <wp:effectExtent b="0" l="0" r="0" t="0"/>
            <wp:wrapNone/>
            <wp:docPr id="1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51530577</wp:posOffset>
            </wp:positionV>
            <wp:extent cx="5731200" cy="2374900"/>
            <wp:effectExtent b="0" l="0" r="0" t="0"/>
            <wp:wrapNone/>
            <wp:docPr id="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7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-200024</wp:posOffset>
            </wp:positionH>
            <wp:positionV relativeFrom="paragraph">
              <wp:posOffset>42738675</wp:posOffset>
            </wp:positionV>
            <wp:extent cx="5731200" cy="2984500"/>
            <wp:effectExtent b="0" l="0" r="0" t="0"/>
            <wp:wrapNone/>
            <wp:docPr id="23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85726</wp:posOffset>
            </wp:positionH>
            <wp:positionV relativeFrom="paragraph">
              <wp:posOffset>36776025</wp:posOffset>
            </wp:positionV>
            <wp:extent cx="5731200" cy="3695700"/>
            <wp:effectExtent b="0" l="0" r="0" t="0"/>
            <wp:wrapNone/>
            <wp:docPr id="12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95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9792375</wp:posOffset>
            </wp:positionV>
            <wp:extent cx="5731200" cy="7404100"/>
            <wp:effectExtent b="0" l="0" r="0" t="0"/>
            <wp:wrapNone/>
            <wp:docPr id="1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404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85726</wp:posOffset>
            </wp:positionH>
            <wp:positionV relativeFrom="paragraph">
              <wp:posOffset>27926625</wp:posOffset>
            </wp:positionV>
            <wp:extent cx="2476500" cy="1847850"/>
            <wp:effectExtent b="0" l="0" r="0" t="0"/>
            <wp:wrapNone/>
            <wp:docPr id="1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4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.0000000000002" w:top="141.73228346456693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Bilbo">
    <w:embedRegular w:fontKey="{00000000-0000-0000-0000-000000000000}" r:id="rId1" w:subsetted="0"/>
  </w:font>
  <w:font w:name="MedievalSharp">
    <w:embedRegular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jpg"/><Relationship Id="rId11" Type="http://schemas.openxmlformats.org/officeDocument/2006/relationships/image" Target="media/image11.jpg"/><Relationship Id="rId22" Type="http://schemas.openxmlformats.org/officeDocument/2006/relationships/image" Target="media/image17.jpg"/><Relationship Id="rId10" Type="http://schemas.openxmlformats.org/officeDocument/2006/relationships/image" Target="media/image7.jpg"/><Relationship Id="rId21" Type="http://schemas.openxmlformats.org/officeDocument/2006/relationships/image" Target="media/image12.jpg"/><Relationship Id="rId13" Type="http://schemas.openxmlformats.org/officeDocument/2006/relationships/image" Target="media/image20.jpg"/><Relationship Id="rId12" Type="http://schemas.openxmlformats.org/officeDocument/2006/relationships/image" Target="media/image6.jpg"/><Relationship Id="rId23" Type="http://schemas.openxmlformats.org/officeDocument/2006/relationships/image" Target="media/image1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jpg"/><Relationship Id="rId15" Type="http://schemas.openxmlformats.org/officeDocument/2006/relationships/image" Target="media/image18.jpg"/><Relationship Id="rId14" Type="http://schemas.openxmlformats.org/officeDocument/2006/relationships/image" Target="media/image19.jpg"/><Relationship Id="rId17" Type="http://schemas.openxmlformats.org/officeDocument/2006/relationships/image" Target="media/image9.jpg"/><Relationship Id="rId16" Type="http://schemas.openxmlformats.org/officeDocument/2006/relationships/image" Target="media/image13.jpg"/><Relationship Id="rId5" Type="http://schemas.openxmlformats.org/officeDocument/2006/relationships/styles" Target="styles.xml"/><Relationship Id="rId19" Type="http://schemas.openxmlformats.org/officeDocument/2006/relationships/image" Target="media/image5.jpg"/><Relationship Id="rId6" Type="http://schemas.openxmlformats.org/officeDocument/2006/relationships/image" Target="media/image10.jpg"/><Relationship Id="rId18" Type="http://schemas.openxmlformats.org/officeDocument/2006/relationships/image" Target="media/image21.jpg"/><Relationship Id="rId7" Type="http://schemas.openxmlformats.org/officeDocument/2006/relationships/image" Target="media/image24.jpg"/><Relationship Id="rId8" Type="http://schemas.openxmlformats.org/officeDocument/2006/relationships/image" Target="media/image8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lbo-regular.ttf"/><Relationship Id="rId2" Type="http://schemas.openxmlformats.org/officeDocument/2006/relationships/font" Target="fonts/MedievalSharp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