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edievalSharp" w:cs="MedievalSharp" w:eastAsia="MedievalSharp" w:hAnsi="MedievalSharp"/>
          <w:sz w:val="58"/>
          <w:szCs w:val="58"/>
        </w:rPr>
      </w:pPr>
      <w:r w:rsidDel="00000000" w:rsidR="00000000" w:rsidRPr="00000000">
        <w:rPr>
          <w:rFonts w:ascii="MedievalSharp" w:cs="MedievalSharp" w:eastAsia="MedievalSharp" w:hAnsi="MedievalSharp"/>
          <w:sz w:val="58"/>
          <w:szCs w:val="58"/>
          <w:rtl w:val="0"/>
        </w:rPr>
        <w:t xml:space="preserve">Runové písmo Středozemě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-82386</wp:posOffset>
            </wp:positionH>
            <wp:positionV relativeFrom="paragraph">
              <wp:posOffset>552450</wp:posOffset>
            </wp:positionV>
            <wp:extent cx="5898173" cy="31670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8173" cy="3167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edievalSharp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dievalSharp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