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Playfair Display" w:cs="Playfair Display" w:eastAsia="Playfair Display" w:hAnsi="Playfair Display"/>
          <w:b w:val="1"/>
          <w:sz w:val="38"/>
          <w:szCs w:val="3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4057650</wp:posOffset>
            </wp:positionH>
            <wp:positionV relativeFrom="paragraph">
              <wp:posOffset>142875</wp:posOffset>
            </wp:positionV>
            <wp:extent cx="1785938" cy="1328873"/>
            <wp:effectExtent b="0" l="0" r="0" t="0"/>
            <wp:wrapNone/>
            <wp:docPr id="1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5938" cy="13288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Playfair Display" w:cs="Playfair Display" w:eastAsia="Playfair Display" w:hAnsi="Playfair Display"/>
          <w:b w:val="1"/>
          <w:sz w:val="38"/>
          <w:szCs w:val="38"/>
          <w:u w:val="singl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38"/>
          <w:szCs w:val="38"/>
          <w:u w:val="single"/>
          <w:rtl w:val="0"/>
        </w:rPr>
        <w:t xml:space="preserve">Vikingové</w:t>
      </w:r>
    </w:p>
    <w:p w:rsidR="00000000" w:rsidDel="00000000" w:rsidP="00000000" w:rsidRDefault="00000000" w:rsidRPr="00000000" w14:paraId="00000003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mořeplavci a válečníci ze Skandinávie</w:t>
      </w:r>
    </w:p>
    <w:p w:rsidR="00000000" w:rsidDel="00000000" w:rsidP="00000000" w:rsidRDefault="00000000" w:rsidRPr="00000000" w14:paraId="00000006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-557212</wp:posOffset>
            </wp:positionH>
            <wp:positionV relativeFrom="paragraph">
              <wp:posOffset>19246723</wp:posOffset>
            </wp:positionV>
            <wp:extent cx="1652588" cy="1232358"/>
            <wp:effectExtent b="0" l="0" r="0" t="0"/>
            <wp:wrapNone/>
            <wp:docPr id="21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2588" cy="12323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pocházeli ze zemí jako je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4943475</wp:posOffset>
            </wp:positionH>
            <wp:positionV relativeFrom="paragraph">
              <wp:posOffset>285750</wp:posOffset>
            </wp:positionV>
            <wp:extent cx="511660" cy="710639"/>
            <wp:effectExtent b="0" l="0" r="0" t="0"/>
            <wp:wrapNone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1660" cy="7106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1762125</wp:posOffset>
            </wp:positionH>
            <wp:positionV relativeFrom="paragraph">
              <wp:posOffset>300038</wp:posOffset>
            </wp:positionV>
            <wp:extent cx="632114" cy="4762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2114" cy="476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3533775</wp:posOffset>
            </wp:positionH>
            <wp:positionV relativeFrom="paragraph">
              <wp:posOffset>314325</wp:posOffset>
            </wp:positionV>
            <wp:extent cx="628650" cy="456346"/>
            <wp:effectExtent b="0" l="0" r="0" t="0"/>
            <wp:wrapNone/>
            <wp:docPr id="3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563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-76199</wp:posOffset>
            </wp:positionH>
            <wp:positionV relativeFrom="paragraph">
              <wp:posOffset>114459</wp:posOffset>
            </wp:positionV>
            <wp:extent cx="693473" cy="431495"/>
            <wp:effectExtent b="0" l="0" r="0" t="0"/>
            <wp:wrapNone/>
            <wp:docPr id="1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3473" cy="4314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Švédsko,</w:t>
        <w:tab/>
        <w:tab/>
        <w:tab/>
        <w:t xml:space="preserve">Dánsko,</w:t>
        <w:tab/>
        <w:tab/>
        <w:tab/>
        <w:t xml:space="preserve">Norsko </w:t>
        <w:tab/>
        <w:t xml:space="preserve">a </w:t>
        <w:tab/>
        <w:t xml:space="preserve">Island</w:t>
      </w:r>
    </w:p>
    <w:p w:rsidR="00000000" w:rsidDel="00000000" w:rsidP="00000000" w:rsidRDefault="00000000" w:rsidRPr="00000000" w14:paraId="0000000C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podnikali loupeživé výpravy, přepady, nájezdy, pirátství, ale také obchodovali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jejich lodě se nazývaly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drakkary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podle draka na přídi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byli to skvělí bojovníci - jak muži, tak i vikingské ženy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věřili, že pokud zemřou se zbraní v ruce, po smrti se dostanou do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Valhally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vikingského nebe plného vyhraných bitev, medoviny a slávy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2071688</wp:posOffset>
            </wp:positionH>
            <wp:positionV relativeFrom="paragraph">
              <wp:posOffset>514350</wp:posOffset>
            </wp:positionV>
            <wp:extent cx="1595438" cy="1061531"/>
            <wp:effectExtent b="0" l="0" r="0" t="0"/>
            <wp:wrapNone/>
            <wp:docPr id="8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5438" cy="10615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-76199</wp:posOffset>
            </wp:positionH>
            <wp:positionV relativeFrom="paragraph">
              <wp:posOffset>514031</wp:posOffset>
            </wp:positionV>
            <wp:extent cx="1585913" cy="1057275"/>
            <wp:effectExtent b="0" l="0" r="0" t="0"/>
            <wp:wrapNone/>
            <wp:docPr id="4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057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4229100</wp:posOffset>
            </wp:positionH>
            <wp:positionV relativeFrom="paragraph">
              <wp:posOffset>247650</wp:posOffset>
            </wp:positionV>
            <wp:extent cx="2138363" cy="1588743"/>
            <wp:effectExtent b="0" l="0" r="0" t="0"/>
            <wp:wrapNone/>
            <wp:docPr id="14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8363" cy="15887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jejich obydlí se nazývalo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hús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Podle postavení ve společnosti zastávali různé výhody - pouzí sluhové se nazývali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thrall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, obyčejní lidé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karl</w:t>
      </w:r>
      <w:r w:rsidDel="00000000" w:rsidR="00000000" w:rsidRPr="00000000">
        <w:rPr>
          <w:rFonts w:ascii="Playfair Display" w:cs="Playfair Display" w:eastAsia="Playfair Display" w:hAnsi="Playfair Display"/>
          <w:i w:val="1"/>
          <w:rtl w:val="0"/>
        </w:rPr>
        <w:t xml:space="preserve">,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velitelé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thegn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, vůdci kmenů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jarl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a nejmocnější bojovníci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drengir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Shromáždění jarlů, kde se rozhodovalo o osudech kmenů nazývali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thing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Mluvili starou severštinou a jako písmo používali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1"/>
          <w:rtl w:val="0"/>
        </w:rPr>
        <w:t xml:space="preserve">runy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-223837</wp:posOffset>
            </wp:positionH>
            <wp:positionV relativeFrom="paragraph">
              <wp:posOffset>2447925</wp:posOffset>
            </wp:positionV>
            <wp:extent cx="1885950" cy="1214876"/>
            <wp:effectExtent b="0" l="0" r="0" t="0"/>
            <wp:wrapNone/>
            <wp:docPr id="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48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4238625</wp:posOffset>
            </wp:positionH>
            <wp:positionV relativeFrom="paragraph">
              <wp:posOffset>152400</wp:posOffset>
            </wp:positionV>
            <wp:extent cx="1885714" cy="3232652"/>
            <wp:effectExtent b="0" l="0" r="0" t="0"/>
            <wp:wrapNone/>
            <wp:docPr id="1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5714" cy="32326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1674975</wp:posOffset>
            </wp:positionH>
            <wp:positionV relativeFrom="paragraph">
              <wp:posOffset>533400</wp:posOffset>
            </wp:positionV>
            <wp:extent cx="2381192" cy="1590675"/>
            <wp:effectExtent b="0" l="0" r="0" t="0"/>
            <wp:wrapNone/>
            <wp:docPr id="1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1192" cy="1590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4552950</wp:posOffset>
            </wp:positionH>
            <wp:positionV relativeFrom="paragraph">
              <wp:posOffset>190500</wp:posOffset>
            </wp:positionV>
            <wp:extent cx="1389395" cy="1333500"/>
            <wp:effectExtent b="0" l="0" r="0" t="0"/>
            <wp:wrapSquare wrapText="bothSides" distB="114300" distT="114300" distL="114300" distR="114300"/>
            <wp:docPr id="9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9395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rPr>
          <w:rFonts w:ascii="Playfair Display" w:cs="Playfair Display" w:eastAsia="Playfair Display" w:hAnsi="Playfair Display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Playfair Display" w:cs="Playfair Display" w:eastAsia="Playfair Display" w:hAnsi="Playfair Display"/>
          <w:b w:val="1"/>
          <w:sz w:val="38"/>
          <w:szCs w:val="38"/>
          <w:u w:val="singl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38"/>
          <w:szCs w:val="38"/>
          <w:u w:val="single"/>
          <w:rtl w:val="0"/>
        </w:rPr>
        <w:t xml:space="preserve">Vikingští bohové</w:t>
      </w:r>
    </w:p>
    <w:p w:rsidR="00000000" w:rsidDel="00000000" w:rsidP="00000000" w:rsidRDefault="00000000" w:rsidRPr="00000000" w14:paraId="0000002C">
      <w:pPr>
        <w:jc w:val="center"/>
        <w:rPr>
          <w:rFonts w:ascii="Playfair Display" w:cs="Playfair Display" w:eastAsia="Playfair Display" w:hAnsi="Playfair Display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Odin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nejvyšší bůh, patron magie a run, stvořitel lidí; jeho společníky jsou krkavci </w:t>
      </w:r>
      <w:r w:rsidDel="00000000" w:rsidR="00000000" w:rsidRPr="00000000">
        <w:rPr>
          <w:rFonts w:ascii="Playfair Display" w:cs="Playfair Display" w:eastAsia="Playfair Display" w:hAnsi="Playfair Display"/>
          <w:i w:val="1"/>
          <w:rtl w:val="0"/>
        </w:rPr>
        <w:t xml:space="preserve">Hugin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a </w:t>
      </w:r>
      <w:r w:rsidDel="00000000" w:rsidR="00000000" w:rsidRPr="00000000">
        <w:rPr>
          <w:rFonts w:ascii="Playfair Display" w:cs="Playfair Display" w:eastAsia="Playfair Display" w:hAnsi="Playfair Display"/>
          <w:i w:val="1"/>
          <w:rtl w:val="0"/>
        </w:rPr>
        <w:t xml:space="preserve">Munin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, nosí oštěp </w:t>
      </w:r>
      <w:r w:rsidDel="00000000" w:rsidR="00000000" w:rsidRPr="00000000">
        <w:rPr>
          <w:rFonts w:ascii="Playfair Display" w:cs="Playfair Display" w:eastAsia="Playfair Display" w:hAnsi="Playfair Display"/>
          <w:i w:val="1"/>
          <w:rtl w:val="0"/>
        </w:rPr>
        <w:t xml:space="preserve">Gungnir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, který nikdy nemine cíl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-180974</wp:posOffset>
            </wp:positionH>
            <wp:positionV relativeFrom="paragraph">
              <wp:posOffset>447675</wp:posOffset>
            </wp:positionV>
            <wp:extent cx="961111" cy="896607"/>
            <wp:effectExtent b="0" l="0" r="0" t="0"/>
            <wp:wrapSquare wrapText="bothSides" distB="114300" distT="114300" distL="114300" distR="114300"/>
            <wp:docPr id="1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1111" cy="8966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4950150</wp:posOffset>
            </wp:positionH>
            <wp:positionV relativeFrom="paragraph">
              <wp:posOffset>642459</wp:posOffset>
            </wp:positionV>
            <wp:extent cx="783431" cy="1333500"/>
            <wp:effectExtent b="0" l="0" r="0" t="0"/>
            <wp:wrapSquare wrapText="bothSides" distB="114300" distT="114300" distL="114300" distR="114300"/>
            <wp:docPr id="6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3431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  <w:u w:val="no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Thor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bůh hromu a deště, strážce spravedlnosti, nositel mocného kladiva </w:t>
      </w:r>
      <w:r w:rsidDel="00000000" w:rsidR="00000000" w:rsidRPr="00000000">
        <w:rPr>
          <w:rFonts w:ascii="Playfair Display" w:cs="Playfair Display" w:eastAsia="Playfair Display" w:hAnsi="Playfair Display"/>
          <w:i w:val="1"/>
          <w:rtl w:val="0"/>
        </w:rPr>
        <w:t xml:space="preserve">Mjolnir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  <w:u w:val="no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Tyr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bůh války, práva a shromáždění thing, zvaný Spravedlivý</w:t>
      </w:r>
    </w:p>
    <w:p w:rsidR="00000000" w:rsidDel="00000000" w:rsidP="00000000" w:rsidRDefault="00000000" w:rsidRPr="00000000" w14:paraId="00000032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-352424</wp:posOffset>
            </wp:positionH>
            <wp:positionV relativeFrom="paragraph">
              <wp:posOffset>119222</wp:posOffset>
            </wp:positionV>
            <wp:extent cx="822533" cy="1252077"/>
            <wp:effectExtent b="0" l="0" r="0" t="0"/>
            <wp:wrapSquare wrapText="bothSides" distB="114300" distT="114300" distL="114300" distR="114300"/>
            <wp:docPr id="15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533" cy="12520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  <w:u w:val="no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Loki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bůh lsti a falše, nevlastní bratr Thora, nejvychytralejší z bohů</w:t>
      </w:r>
    </w:p>
    <w:p w:rsidR="00000000" w:rsidDel="00000000" w:rsidP="00000000" w:rsidRDefault="00000000" w:rsidRPr="00000000" w14:paraId="00000036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4824413</wp:posOffset>
            </wp:positionH>
            <wp:positionV relativeFrom="paragraph">
              <wp:posOffset>228600</wp:posOffset>
            </wp:positionV>
            <wp:extent cx="1039678" cy="1314450"/>
            <wp:effectExtent b="0" l="0" r="0" t="0"/>
            <wp:wrapSquare wrapText="bothSides" distB="114300" distT="114300" distL="114300" distR="114300"/>
            <wp:docPr id="1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9678" cy="1314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ind w:left="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  <w:u w:val="no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Freya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bohyně lásky, krásy a čarodějnictví, jezdí v kočáře taženým kočkami; patronka bojovníků, kteří zemřeli v souboji o ženu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-352424</wp:posOffset>
            </wp:positionH>
            <wp:positionV relativeFrom="paragraph">
              <wp:posOffset>485775</wp:posOffset>
            </wp:positionV>
            <wp:extent cx="1390650" cy="1090706"/>
            <wp:effectExtent b="0" l="0" r="0" t="0"/>
            <wp:wrapSquare wrapText="bothSides" distB="114300" distT="114300" distL="114300" distR="114300"/>
            <wp:docPr id="2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907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  <w:u w:val="no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Hel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bohyně podsvětí, Lokiho dcera, napůl krásná žena a napůl mrtvola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4691063</wp:posOffset>
            </wp:positionH>
            <wp:positionV relativeFrom="paragraph">
              <wp:posOffset>476250</wp:posOffset>
            </wp:positionV>
            <wp:extent cx="1300163" cy="1300163"/>
            <wp:effectExtent b="0" l="0" r="0" t="0"/>
            <wp:wrapSquare wrapText="bothSides" distB="114300" distT="114300" distL="114300" distR="11430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1300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  <w:u w:val="no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Fenrir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obrovský vlk, syn Lokiho; jeho osudem je růst tak dlouho, dokud pouta, kterými je spoután nepovolí, a poté za</w:t>
      </w:r>
      <w:hyperlink r:id="rId24">
        <w:r w:rsidDel="00000000" w:rsidR="00000000" w:rsidRPr="00000000">
          <w:rPr>
            <w:rFonts w:ascii="Playfair Display" w:cs="Playfair Display" w:eastAsia="Playfair Display" w:hAnsi="Playfair Display"/>
            <w:rtl w:val="0"/>
          </w:rPr>
          <w:t xml:space="preserve"> </w:t>
        </w:r>
      </w:hyperlink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Ragnaroku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 (konce světa)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 spolknout</w:t>
      </w:r>
      <w:hyperlink r:id="rId25">
        <w:r w:rsidDel="00000000" w:rsidR="00000000" w:rsidRPr="00000000">
          <w:rPr>
            <w:rFonts w:ascii="Playfair Display" w:cs="Playfair Display" w:eastAsia="Playfair Display" w:hAnsi="Playfair Display"/>
            <w:rtl w:val="0"/>
          </w:rPr>
          <w:t xml:space="preserve"> </w:t>
        </w:r>
      </w:hyperlink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Ódina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-352424</wp:posOffset>
            </wp:positionH>
            <wp:positionV relativeFrom="paragraph">
              <wp:posOffset>685800</wp:posOffset>
            </wp:positionV>
            <wp:extent cx="1204913" cy="1204913"/>
            <wp:effectExtent b="0" l="0" r="0" t="0"/>
            <wp:wrapSquare wrapText="bothSides" distB="114300" distT="114300" distL="114300" distR="114300"/>
            <wp:docPr id="17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4913" cy="1204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 w:firstLine="0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  <w:u w:val="no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Heimdall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věčný strážce, v noci vidí úplně stejně dobře jako ve dne a to na celé míle daleko; má sluch tak dobrý, že slyší růst trávu, a dokonce i vlnu na hřbetech ovcí</w:t>
      </w:r>
    </w:p>
    <w:p w:rsidR="00000000" w:rsidDel="00000000" w:rsidP="00000000" w:rsidRDefault="00000000" w:rsidRPr="00000000" w14:paraId="00000042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4552950</wp:posOffset>
            </wp:positionH>
            <wp:positionV relativeFrom="paragraph">
              <wp:posOffset>182250</wp:posOffset>
            </wp:positionV>
            <wp:extent cx="1319213" cy="1154311"/>
            <wp:effectExtent b="0" l="0" r="0" t="0"/>
            <wp:wrapSquare wrapText="bothSides" distB="114300" distT="114300" distL="114300" distR="114300"/>
            <wp:docPr id="5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11543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3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rFonts w:ascii="Playfair Display" w:cs="Playfair Display" w:eastAsia="Playfair Display" w:hAnsi="Playfair Display"/>
          <w:u w:val="no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rtl w:val="0"/>
        </w:rPr>
        <w:t xml:space="preserve">Valkýry </w:t>
      </w: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- válečnice, jezdící na okřídlených koních, mají moc vyvolávat ty, kdo zahynou, a určovat vítězství; vybírají na bitevních polích duše padlých válečníků hodných Valhally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7.jpg"/><Relationship Id="rId22" Type="http://schemas.openxmlformats.org/officeDocument/2006/relationships/image" Target="media/image2.jpg"/><Relationship Id="rId21" Type="http://schemas.openxmlformats.org/officeDocument/2006/relationships/image" Target="media/image6.jpg"/><Relationship Id="rId24" Type="http://schemas.openxmlformats.org/officeDocument/2006/relationships/hyperlink" Target="https://cs.wikipedia.org/wiki/Ragnar%C3%B6k" TargetMode="External"/><Relationship Id="rId23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1.png"/><Relationship Id="rId26" Type="http://schemas.openxmlformats.org/officeDocument/2006/relationships/image" Target="media/image18.jpg"/><Relationship Id="rId25" Type="http://schemas.openxmlformats.org/officeDocument/2006/relationships/hyperlink" Target="https://cs.wikipedia.org/wiki/%C3%93din" TargetMode="External"/><Relationship Id="rId27" Type="http://schemas.openxmlformats.org/officeDocument/2006/relationships/image" Target="media/image11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8.png"/><Relationship Id="rId8" Type="http://schemas.openxmlformats.org/officeDocument/2006/relationships/image" Target="media/image1.png"/><Relationship Id="rId11" Type="http://schemas.openxmlformats.org/officeDocument/2006/relationships/image" Target="media/image4.jpg"/><Relationship Id="rId10" Type="http://schemas.openxmlformats.org/officeDocument/2006/relationships/image" Target="media/image14.png"/><Relationship Id="rId13" Type="http://schemas.openxmlformats.org/officeDocument/2006/relationships/image" Target="media/image12.jpg"/><Relationship Id="rId12" Type="http://schemas.openxmlformats.org/officeDocument/2006/relationships/image" Target="media/image15.jpg"/><Relationship Id="rId15" Type="http://schemas.openxmlformats.org/officeDocument/2006/relationships/image" Target="media/image10.png"/><Relationship Id="rId14" Type="http://schemas.openxmlformats.org/officeDocument/2006/relationships/image" Target="media/image20.png"/><Relationship Id="rId17" Type="http://schemas.openxmlformats.org/officeDocument/2006/relationships/image" Target="media/image7.jpg"/><Relationship Id="rId16" Type="http://schemas.openxmlformats.org/officeDocument/2006/relationships/image" Target="media/image5.jpg"/><Relationship Id="rId19" Type="http://schemas.openxmlformats.org/officeDocument/2006/relationships/image" Target="media/image19.jpg"/><Relationship Id="rId18" Type="http://schemas.openxmlformats.org/officeDocument/2006/relationships/image" Target="media/image16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